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67B" w:rsidRPr="004B167B" w:rsidRDefault="004B167B" w:rsidP="004B167B">
      <w:pPr>
        <w:pStyle w:val="Heading1"/>
        <w:shd w:val="clear" w:color="auto" w:fill="0092C2"/>
        <w:spacing w:before="180" w:beforeAutospacing="0" w:after="150" w:afterAutospacing="0" w:line="450" w:lineRule="atLeast"/>
        <w:jc w:val="both"/>
        <w:rPr>
          <w:rFonts w:asciiTheme="minorHAnsi" w:hAnsiTheme="minorHAnsi" w:cs="Arial"/>
          <w:b w:val="0"/>
          <w:bCs w:val="0"/>
          <w:color w:val="FFFFFF"/>
          <w:sz w:val="45"/>
          <w:szCs w:val="45"/>
        </w:rPr>
      </w:pPr>
      <w:r w:rsidRPr="004B167B">
        <w:rPr>
          <w:rFonts w:asciiTheme="minorHAnsi" w:hAnsiTheme="minorHAnsi" w:cs="Arial"/>
          <w:b w:val="0"/>
          <w:bCs w:val="0"/>
          <w:color w:val="FFFFFF"/>
          <w:sz w:val="45"/>
          <w:szCs w:val="45"/>
        </w:rPr>
        <w:t>Program specifičnih i preventivnih mjera zdravstvene zaštite redovitih studenata</w:t>
      </w:r>
    </w:p>
    <w:p w:rsidR="004B167B" w:rsidRPr="004B167B" w:rsidRDefault="004B167B" w:rsidP="004B167B">
      <w:pPr>
        <w:spacing w:before="180" w:after="150" w:line="450" w:lineRule="atLeast"/>
        <w:outlineLvl w:val="0"/>
        <w:rPr>
          <w:rFonts w:asciiTheme="minorHAnsi" w:eastAsia="Times New Roman" w:hAnsiTheme="minorHAnsi" w:cs="Arial"/>
          <w:color w:val="FFFFFF"/>
          <w:kern w:val="36"/>
          <w:sz w:val="45"/>
          <w:szCs w:val="45"/>
          <w:lang w:eastAsia="hr-HR"/>
        </w:rPr>
      </w:pPr>
      <w:r w:rsidRPr="004B167B">
        <w:rPr>
          <w:rFonts w:asciiTheme="minorHAnsi" w:eastAsia="Times New Roman" w:hAnsiTheme="minorHAnsi" w:cs="Arial"/>
          <w:color w:val="FFFFFF"/>
          <w:kern w:val="36"/>
          <w:sz w:val="45"/>
          <w:szCs w:val="45"/>
          <w:lang w:eastAsia="hr-HR"/>
        </w:rPr>
        <w:t>zaštite redovitih studenata</w:t>
      </w:r>
    </w:p>
    <w:p w:rsidR="004B167B" w:rsidRPr="004B167B" w:rsidRDefault="004B167B" w:rsidP="004B167B">
      <w:pPr>
        <w:spacing w:after="225" w:line="420" w:lineRule="atLeast"/>
        <w:outlineLvl w:val="2"/>
        <w:rPr>
          <w:rFonts w:asciiTheme="minorHAnsi" w:eastAsia="Times New Roman" w:hAnsiTheme="minorHAnsi" w:cs="Arial"/>
          <w:color w:val="666666"/>
          <w:sz w:val="36"/>
          <w:szCs w:val="36"/>
          <w:lang w:eastAsia="hr-HR"/>
        </w:rPr>
      </w:pPr>
      <w:r w:rsidRPr="004B167B">
        <w:rPr>
          <w:rFonts w:asciiTheme="minorHAnsi" w:eastAsia="Times New Roman" w:hAnsiTheme="minorHAnsi" w:cs="Arial"/>
          <w:color w:val="666666"/>
          <w:sz w:val="36"/>
          <w:szCs w:val="36"/>
          <w:lang w:eastAsia="hr-HR"/>
        </w:rPr>
        <w:t>1. Sistematski pregled na prvoj godini.</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t>Provodi se u svrhu kontrole zdravstvenoga stanja, uvida u navike i ponašanja, prilagodbe na studij te utvrđivanja zdravstvenih rizika. Sistematski pregled sadrži uz fizikalni pregled (štitnjača, dojke, srce, lokomotorni sustav, vanjsko spolovilo muškaraca, oštrina vida, vid na boje, RR, TV, TT, ITM), zdravstvenu (osobnu i obiteljsku) i socijalnu anamnezu. Obavezni je dio sistematskoga pregleda anketa o navikama (prehrana, tjelesna aktivnost, pušenje, alkohol, droge) i seksualnom ponašanju.</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t> </w:t>
      </w:r>
    </w:p>
    <w:p w:rsidR="004B167B" w:rsidRPr="004B167B" w:rsidRDefault="004B167B" w:rsidP="004B167B">
      <w:pPr>
        <w:spacing w:after="225" w:line="420" w:lineRule="atLeast"/>
        <w:outlineLvl w:val="2"/>
        <w:rPr>
          <w:rFonts w:asciiTheme="minorHAnsi" w:eastAsia="Times New Roman" w:hAnsiTheme="minorHAnsi" w:cs="Arial"/>
          <w:color w:val="666666"/>
          <w:sz w:val="36"/>
          <w:szCs w:val="36"/>
          <w:lang w:eastAsia="hr-HR"/>
        </w:rPr>
      </w:pPr>
      <w:r w:rsidRPr="004B167B">
        <w:rPr>
          <w:rFonts w:asciiTheme="minorHAnsi" w:eastAsia="Times New Roman" w:hAnsiTheme="minorHAnsi" w:cs="Arial"/>
          <w:color w:val="666666"/>
          <w:sz w:val="36"/>
          <w:szCs w:val="36"/>
          <w:lang w:eastAsia="hr-HR"/>
        </w:rPr>
        <w:t>2. Pregled prije prijema u studentski dom.</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t>Pregled se provodi u svrhu utvrđivanja zdravstvenih rizika za boravak u kolektivu temeljem Zakona o zaštiti pučanstva od zaraznih bolesti. Sastoji se od zdravstvene (osobne i obiteljske) i socijalne anamneze – ciljano na tuberkulozu i ostale zarazne bolesti i fizikalnog pregleda.</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t> </w:t>
      </w:r>
    </w:p>
    <w:p w:rsidR="004B167B" w:rsidRPr="004B167B" w:rsidRDefault="004B167B" w:rsidP="004B167B">
      <w:pPr>
        <w:spacing w:after="225" w:line="420" w:lineRule="atLeast"/>
        <w:outlineLvl w:val="2"/>
        <w:rPr>
          <w:rFonts w:asciiTheme="minorHAnsi" w:eastAsia="Times New Roman" w:hAnsiTheme="minorHAnsi" w:cs="Arial"/>
          <w:color w:val="666666"/>
          <w:sz w:val="36"/>
          <w:szCs w:val="36"/>
          <w:lang w:eastAsia="hr-HR"/>
        </w:rPr>
      </w:pPr>
      <w:r w:rsidRPr="004B167B">
        <w:rPr>
          <w:rFonts w:asciiTheme="minorHAnsi" w:eastAsia="Times New Roman" w:hAnsiTheme="minorHAnsi" w:cs="Arial"/>
          <w:color w:val="666666"/>
          <w:sz w:val="36"/>
          <w:szCs w:val="36"/>
          <w:lang w:eastAsia="hr-HR"/>
        </w:rPr>
        <w:t>3. Timski rad sa studentima s posebnim potrebama za kolegij tjelesne i zdravstvene kulture.</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t>Početkom svakog semestra suradnjom nadležnog liječnika fakulteta i nastavnika tjelesne i zdravstvene kulture utvrđuje se program tjelesne i zdravstvene kulture za studente sa zdravstvenim problemima.</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t> </w:t>
      </w:r>
    </w:p>
    <w:p w:rsidR="004B167B" w:rsidRPr="004B167B" w:rsidRDefault="004B167B" w:rsidP="004B167B">
      <w:pPr>
        <w:spacing w:after="225" w:line="420" w:lineRule="atLeast"/>
        <w:outlineLvl w:val="2"/>
        <w:rPr>
          <w:rFonts w:asciiTheme="minorHAnsi" w:eastAsia="Times New Roman" w:hAnsiTheme="minorHAnsi" w:cs="Arial"/>
          <w:color w:val="666666"/>
          <w:sz w:val="36"/>
          <w:szCs w:val="36"/>
          <w:lang w:eastAsia="hr-HR"/>
        </w:rPr>
      </w:pPr>
      <w:r w:rsidRPr="004B167B">
        <w:rPr>
          <w:rFonts w:asciiTheme="minorHAnsi" w:eastAsia="Times New Roman" w:hAnsiTheme="minorHAnsi" w:cs="Arial"/>
          <w:color w:val="666666"/>
          <w:sz w:val="36"/>
          <w:szCs w:val="36"/>
          <w:lang w:eastAsia="hr-HR"/>
        </w:rPr>
        <w:t>4. Savjetovališni rad.</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t>Svrha savjetovališnoga rada jest pomoć studentima u rješavanju najznačajnijih i najčešćih problema vezano uz: prilagodbu na fakultet, probleme učenja, reproduktivnoga zdravlja (spolno prenosive bolesti, trudnoće i planiranje obitelji), kroničnih poremećaja zdravlja, zlouporabe psihoaktivnih droga i drugih oblika ovisnosti.</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t> </w:t>
      </w:r>
    </w:p>
    <w:p w:rsidR="004B167B" w:rsidRPr="004B167B" w:rsidRDefault="004B167B" w:rsidP="004B167B">
      <w:pPr>
        <w:spacing w:after="225" w:line="420" w:lineRule="atLeast"/>
        <w:outlineLvl w:val="2"/>
        <w:rPr>
          <w:rFonts w:asciiTheme="minorHAnsi" w:eastAsia="Times New Roman" w:hAnsiTheme="minorHAnsi" w:cs="Arial"/>
          <w:color w:val="666666"/>
          <w:sz w:val="36"/>
          <w:szCs w:val="36"/>
          <w:lang w:eastAsia="hr-HR"/>
        </w:rPr>
      </w:pPr>
      <w:r w:rsidRPr="004B167B">
        <w:rPr>
          <w:rFonts w:asciiTheme="minorHAnsi" w:eastAsia="Times New Roman" w:hAnsiTheme="minorHAnsi" w:cs="Arial"/>
          <w:color w:val="666666"/>
          <w:sz w:val="36"/>
          <w:szCs w:val="36"/>
          <w:lang w:eastAsia="hr-HR"/>
        </w:rPr>
        <w:t>5. Posebni programi praćenja studenata sa zdravstvenim rizicima, rizičnim ponašanjima i kroničnim poremećajima zdravlja.</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lastRenderedPageBreak/>
        <w:t> </w:t>
      </w:r>
    </w:p>
    <w:p w:rsidR="004B167B" w:rsidRPr="004B167B" w:rsidRDefault="004B167B" w:rsidP="004B167B">
      <w:pPr>
        <w:spacing w:after="225" w:line="420" w:lineRule="atLeast"/>
        <w:outlineLvl w:val="2"/>
        <w:rPr>
          <w:rFonts w:asciiTheme="minorHAnsi" w:eastAsia="Times New Roman" w:hAnsiTheme="minorHAnsi" w:cs="Arial"/>
          <w:color w:val="666666"/>
          <w:sz w:val="36"/>
          <w:szCs w:val="36"/>
          <w:lang w:eastAsia="hr-HR"/>
        </w:rPr>
      </w:pPr>
      <w:r w:rsidRPr="004B167B">
        <w:rPr>
          <w:rFonts w:asciiTheme="minorHAnsi" w:eastAsia="Times New Roman" w:hAnsiTheme="minorHAnsi" w:cs="Arial"/>
          <w:color w:val="666666"/>
          <w:sz w:val="36"/>
          <w:szCs w:val="36"/>
          <w:lang w:eastAsia="hr-HR"/>
        </w:rPr>
        <w:t>6. Namjenski pregledi i izdavanje liječničkih potvrda na zahtjev studenata:</w:t>
      </w:r>
    </w:p>
    <w:p w:rsidR="004B167B" w:rsidRPr="004B167B" w:rsidRDefault="004B167B" w:rsidP="004B167B">
      <w:pPr>
        <w:numPr>
          <w:ilvl w:val="0"/>
          <w:numId w:val="1"/>
        </w:numPr>
        <w:spacing w:after="150" w:line="300" w:lineRule="atLeast"/>
        <w:ind w:left="450"/>
        <w:rPr>
          <w:rFonts w:asciiTheme="minorHAnsi" w:eastAsia="Times New Roman" w:hAnsiTheme="minorHAnsi"/>
          <w:lang w:eastAsia="hr-HR"/>
        </w:rPr>
      </w:pPr>
      <w:r w:rsidRPr="004B167B">
        <w:rPr>
          <w:rFonts w:asciiTheme="minorHAnsi" w:eastAsia="Times New Roman" w:hAnsiTheme="minorHAnsi"/>
          <w:lang w:eastAsia="hr-HR"/>
        </w:rPr>
        <w:t>u svrhu utvrđivanja zdravstvenih razloga za mirovanje studentskih obaveza;</w:t>
      </w:r>
    </w:p>
    <w:p w:rsidR="004B167B" w:rsidRPr="004B167B" w:rsidRDefault="004B167B" w:rsidP="004B167B">
      <w:pPr>
        <w:numPr>
          <w:ilvl w:val="0"/>
          <w:numId w:val="1"/>
        </w:numPr>
        <w:spacing w:after="150" w:line="300" w:lineRule="atLeast"/>
        <w:ind w:left="450"/>
        <w:rPr>
          <w:rFonts w:asciiTheme="minorHAnsi" w:eastAsia="Times New Roman" w:hAnsiTheme="minorHAnsi"/>
          <w:lang w:eastAsia="hr-HR"/>
        </w:rPr>
      </w:pPr>
      <w:r w:rsidRPr="004B167B">
        <w:rPr>
          <w:rFonts w:asciiTheme="minorHAnsi" w:eastAsia="Times New Roman" w:hAnsiTheme="minorHAnsi"/>
          <w:lang w:eastAsia="hr-HR"/>
        </w:rPr>
        <w:t>za smještaj u jednokrevetnoj sobi u studentskom domu iz zdravstvenih razloga.</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t> </w:t>
      </w:r>
    </w:p>
    <w:p w:rsidR="004B167B" w:rsidRPr="004B167B" w:rsidRDefault="004B167B" w:rsidP="004B167B">
      <w:pPr>
        <w:spacing w:after="225" w:line="420" w:lineRule="atLeast"/>
        <w:outlineLvl w:val="2"/>
        <w:rPr>
          <w:rFonts w:asciiTheme="minorHAnsi" w:eastAsia="Times New Roman" w:hAnsiTheme="minorHAnsi" w:cs="Arial"/>
          <w:color w:val="666666"/>
          <w:sz w:val="36"/>
          <w:szCs w:val="36"/>
          <w:lang w:eastAsia="hr-HR"/>
        </w:rPr>
      </w:pPr>
      <w:r w:rsidRPr="004B167B">
        <w:rPr>
          <w:rFonts w:asciiTheme="minorHAnsi" w:eastAsia="Times New Roman" w:hAnsiTheme="minorHAnsi" w:cs="Arial"/>
          <w:color w:val="666666"/>
          <w:sz w:val="36"/>
          <w:szCs w:val="36"/>
          <w:lang w:eastAsia="hr-HR"/>
        </w:rPr>
        <w:t>7. Zdravstveni odgoj.</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t>Provodi se integrirano uz sistematske preglede i probire ili kao zasebna aktivnost. Metode rada su: predavanja, rad u malim skupinama, individualni rad i tribine.</w:t>
      </w:r>
    </w:p>
    <w:p w:rsidR="004B167B" w:rsidRPr="004B167B" w:rsidRDefault="004B167B" w:rsidP="004B167B">
      <w:pPr>
        <w:spacing w:after="150" w:line="240" w:lineRule="auto"/>
        <w:rPr>
          <w:rFonts w:asciiTheme="minorHAnsi" w:eastAsia="Times New Roman" w:hAnsiTheme="minorHAnsi"/>
          <w:lang w:eastAsia="hr-HR"/>
        </w:rPr>
      </w:pPr>
      <w:r w:rsidRPr="004B167B">
        <w:rPr>
          <w:rFonts w:asciiTheme="minorHAnsi" w:eastAsia="Times New Roman" w:hAnsiTheme="minorHAnsi"/>
          <w:lang w:eastAsia="hr-HR"/>
        </w:rPr>
        <w:t> </w:t>
      </w:r>
    </w:p>
    <w:p w:rsidR="005C7F99" w:rsidRPr="004B167B" w:rsidRDefault="005C7F99" w:rsidP="004B167B">
      <w:pPr>
        <w:rPr>
          <w:rFonts w:asciiTheme="minorHAnsi" w:hAnsiTheme="minorHAnsi"/>
        </w:rPr>
      </w:pPr>
    </w:p>
    <w:sectPr w:rsidR="005C7F99" w:rsidRPr="004B167B" w:rsidSect="005C7F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2304B"/>
    <w:multiLevelType w:val="multilevel"/>
    <w:tmpl w:val="B77A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167B"/>
    <w:rsid w:val="00260148"/>
    <w:rsid w:val="004B167B"/>
    <w:rsid w:val="005C7F99"/>
    <w:rsid w:val="006D4E74"/>
    <w:rsid w:val="00DB41EE"/>
    <w:rsid w:val="00EE61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hr-H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F99"/>
  </w:style>
  <w:style w:type="paragraph" w:styleId="Heading1">
    <w:name w:val="heading 1"/>
    <w:basedOn w:val="Normal"/>
    <w:link w:val="Heading1Char"/>
    <w:uiPriority w:val="9"/>
    <w:qFormat/>
    <w:rsid w:val="004B167B"/>
    <w:pPr>
      <w:spacing w:before="100" w:beforeAutospacing="1" w:after="100" w:afterAutospacing="1" w:line="240" w:lineRule="auto"/>
      <w:jc w:val="left"/>
      <w:outlineLvl w:val="0"/>
    </w:pPr>
    <w:rPr>
      <w:rFonts w:ascii="Times New Roman" w:eastAsia="Times New Roman" w:hAnsi="Times New Roman"/>
      <w:b/>
      <w:bCs/>
      <w:kern w:val="36"/>
      <w:sz w:val="48"/>
      <w:szCs w:val="48"/>
      <w:lang w:eastAsia="hr-HR"/>
    </w:rPr>
  </w:style>
  <w:style w:type="paragraph" w:styleId="Heading3">
    <w:name w:val="heading 3"/>
    <w:basedOn w:val="Normal"/>
    <w:link w:val="Heading3Char"/>
    <w:uiPriority w:val="9"/>
    <w:qFormat/>
    <w:rsid w:val="004B167B"/>
    <w:pPr>
      <w:spacing w:before="100" w:beforeAutospacing="1" w:after="100" w:afterAutospacing="1" w:line="240" w:lineRule="auto"/>
      <w:jc w:val="left"/>
      <w:outlineLvl w:val="2"/>
    </w:pPr>
    <w:rPr>
      <w:rFonts w:ascii="Times New Roman" w:eastAsia="Times New Roman" w:hAnsi="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7B"/>
    <w:rPr>
      <w:rFonts w:ascii="Times New Roman" w:eastAsia="Times New Roman" w:hAnsi="Times New Roman"/>
      <w:b/>
      <w:bCs/>
      <w:kern w:val="36"/>
      <w:sz w:val="48"/>
      <w:szCs w:val="48"/>
      <w:lang w:eastAsia="hr-HR"/>
    </w:rPr>
  </w:style>
  <w:style w:type="character" w:customStyle="1" w:styleId="Heading3Char">
    <w:name w:val="Heading 3 Char"/>
    <w:basedOn w:val="DefaultParagraphFont"/>
    <w:link w:val="Heading3"/>
    <w:uiPriority w:val="9"/>
    <w:rsid w:val="004B167B"/>
    <w:rPr>
      <w:rFonts w:ascii="Times New Roman" w:eastAsia="Times New Roman" w:hAnsi="Times New Roman"/>
      <w:b/>
      <w:bCs/>
      <w:sz w:val="27"/>
      <w:szCs w:val="27"/>
      <w:lang w:eastAsia="hr-HR"/>
    </w:rPr>
  </w:style>
  <w:style w:type="paragraph" w:styleId="NormalWeb">
    <w:name w:val="Normal (Web)"/>
    <w:basedOn w:val="Normal"/>
    <w:uiPriority w:val="99"/>
    <w:semiHidden/>
    <w:unhideWhenUsed/>
    <w:rsid w:val="004B167B"/>
    <w:pPr>
      <w:spacing w:before="100" w:beforeAutospacing="1" w:after="100" w:afterAutospacing="1" w:line="240" w:lineRule="auto"/>
      <w:jc w:val="left"/>
    </w:pPr>
    <w:rPr>
      <w:rFonts w:ascii="Times New Roman" w:eastAsia="Times New Roman" w:hAnsi="Times New Roman"/>
      <w:lang w:eastAsia="hr-HR"/>
    </w:rPr>
  </w:style>
  <w:style w:type="paragraph" w:styleId="BalloonText">
    <w:name w:val="Balloon Text"/>
    <w:basedOn w:val="Normal"/>
    <w:link w:val="BalloonTextChar"/>
    <w:uiPriority w:val="99"/>
    <w:semiHidden/>
    <w:unhideWhenUsed/>
    <w:rsid w:val="004B16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806284">
      <w:bodyDiv w:val="1"/>
      <w:marLeft w:val="0"/>
      <w:marRight w:val="0"/>
      <w:marTop w:val="0"/>
      <w:marBottom w:val="0"/>
      <w:divBdr>
        <w:top w:val="none" w:sz="0" w:space="0" w:color="auto"/>
        <w:left w:val="none" w:sz="0" w:space="0" w:color="auto"/>
        <w:bottom w:val="none" w:sz="0" w:space="0" w:color="auto"/>
        <w:right w:val="none" w:sz="0" w:space="0" w:color="auto"/>
      </w:divBdr>
    </w:div>
    <w:div w:id="1161192111">
      <w:bodyDiv w:val="1"/>
      <w:marLeft w:val="0"/>
      <w:marRight w:val="0"/>
      <w:marTop w:val="0"/>
      <w:marBottom w:val="0"/>
      <w:divBdr>
        <w:top w:val="none" w:sz="0" w:space="0" w:color="auto"/>
        <w:left w:val="none" w:sz="0" w:space="0" w:color="auto"/>
        <w:bottom w:val="none" w:sz="0" w:space="0" w:color="auto"/>
        <w:right w:val="none" w:sz="0" w:space="0" w:color="auto"/>
      </w:divBdr>
      <w:divsChild>
        <w:div w:id="2144883302">
          <w:marLeft w:val="0"/>
          <w:marRight w:val="0"/>
          <w:marTop w:val="0"/>
          <w:marBottom w:val="0"/>
          <w:divBdr>
            <w:top w:val="none" w:sz="0" w:space="0" w:color="auto"/>
            <w:left w:val="none" w:sz="0" w:space="0" w:color="auto"/>
            <w:bottom w:val="none" w:sz="0" w:space="0" w:color="auto"/>
            <w:right w:val="none" w:sz="0" w:space="0" w:color="auto"/>
          </w:divBdr>
        </w:div>
        <w:div w:id="1882204031">
          <w:marLeft w:val="0"/>
          <w:marRight w:val="0"/>
          <w:marTop w:val="0"/>
          <w:marBottom w:val="0"/>
          <w:divBdr>
            <w:top w:val="none" w:sz="0" w:space="0" w:color="auto"/>
            <w:left w:val="none" w:sz="0" w:space="0" w:color="auto"/>
            <w:bottom w:val="none" w:sz="0" w:space="0" w:color="auto"/>
            <w:right w:val="none" w:sz="0" w:space="0" w:color="auto"/>
          </w:divBdr>
          <w:divsChild>
            <w:div w:id="1254584321">
              <w:marLeft w:val="0"/>
              <w:marRight w:val="0"/>
              <w:marTop w:val="0"/>
              <w:marBottom w:val="0"/>
              <w:divBdr>
                <w:top w:val="none" w:sz="0" w:space="0" w:color="auto"/>
                <w:left w:val="none" w:sz="0" w:space="0" w:color="auto"/>
                <w:bottom w:val="none" w:sz="0" w:space="0" w:color="auto"/>
                <w:right w:val="none" w:sz="0" w:space="0" w:color="auto"/>
              </w:divBdr>
              <w:divsChild>
                <w:div w:id="580339145">
                  <w:marLeft w:val="0"/>
                  <w:marRight w:val="0"/>
                  <w:marTop w:val="0"/>
                  <w:marBottom w:val="0"/>
                  <w:divBdr>
                    <w:top w:val="none" w:sz="0" w:space="0" w:color="auto"/>
                    <w:left w:val="none" w:sz="0" w:space="0" w:color="auto"/>
                    <w:bottom w:val="none" w:sz="0" w:space="0" w:color="auto"/>
                    <w:right w:val="none" w:sz="0" w:space="0" w:color="auto"/>
                  </w:divBdr>
                  <w:divsChild>
                    <w:div w:id="4138001">
                      <w:marLeft w:val="0"/>
                      <w:marRight w:val="0"/>
                      <w:marTop w:val="0"/>
                      <w:marBottom w:val="0"/>
                      <w:divBdr>
                        <w:top w:val="none" w:sz="0" w:space="0" w:color="auto"/>
                        <w:left w:val="none" w:sz="0" w:space="0" w:color="auto"/>
                        <w:bottom w:val="none" w:sz="0" w:space="0" w:color="auto"/>
                        <w:right w:val="none" w:sz="0" w:space="0" w:color="auto"/>
                      </w:divBdr>
                      <w:divsChild>
                        <w:div w:id="194201832">
                          <w:marLeft w:val="0"/>
                          <w:marRight w:val="0"/>
                          <w:marTop w:val="0"/>
                          <w:marBottom w:val="0"/>
                          <w:divBdr>
                            <w:top w:val="none" w:sz="0" w:space="0" w:color="auto"/>
                            <w:left w:val="none" w:sz="0" w:space="0" w:color="auto"/>
                            <w:bottom w:val="none" w:sz="0" w:space="0" w:color="auto"/>
                            <w:right w:val="none" w:sz="0" w:space="0" w:color="auto"/>
                          </w:divBdr>
                          <w:divsChild>
                            <w:div w:id="599682796">
                              <w:marLeft w:val="0"/>
                              <w:marRight w:val="0"/>
                              <w:marTop w:val="0"/>
                              <w:marBottom w:val="0"/>
                              <w:divBdr>
                                <w:top w:val="none" w:sz="0" w:space="0" w:color="auto"/>
                                <w:left w:val="none" w:sz="0" w:space="0" w:color="auto"/>
                                <w:bottom w:val="none" w:sz="0" w:space="0" w:color="auto"/>
                                <w:right w:val="none" w:sz="0" w:space="0" w:color="auto"/>
                              </w:divBdr>
                              <w:divsChild>
                                <w:div w:id="618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2015-02-08T11:36:00Z</dcterms:created>
  <dcterms:modified xsi:type="dcterms:W3CDTF">2015-02-08T11:37:00Z</dcterms:modified>
</cp:coreProperties>
</file>